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47F58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数字营销微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人才培养方案</w:t>
      </w:r>
    </w:p>
    <w:p w14:paraId="512B37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/>
        <w:jc w:val="center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2D232F0">
      <w:pPr>
        <w:spacing w:before="120" w:beforeLines="50" w:after="120" w:afterLines="50" w:line="480" w:lineRule="exact"/>
        <w:ind w:firstLine="562" w:firstLineChars="200"/>
        <w:rPr>
          <w:rFonts w:eastAsia="宋体"/>
          <w:b/>
          <w:kern w:val="0"/>
          <w:sz w:val="28"/>
          <w:szCs w:val="28"/>
        </w:rPr>
      </w:pPr>
      <w:r>
        <w:rPr>
          <w:rFonts w:eastAsia="宋体"/>
          <w:b/>
          <w:kern w:val="0"/>
          <w:sz w:val="28"/>
          <w:szCs w:val="28"/>
        </w:rPr>
        <w:t>一、微专业介绍 校内微专业代码</w:t>
      </w:r>
    </w:p>
    <w:p w14:paraId="6F45D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="宋体"/>
          <w:b w:val="0"/>
          <w:bCs/>
          <w:color w:val="FF0000"/>
          <w:kern w:val="0"/>
          <w:sz w:val="24"/>
          <w:szCs w:val="24"/>
          <w:lang w:eastAsia="zh-CN"/>
        </w:rPr>
      </w:pP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数字营销微专业是响应国家战略需要，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满足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企业数字化转型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对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数字营销人才的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迫切需要的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急需紧缺型微专业。</w:t>
      </w:r>
      <w:r>
        <w:rPr>
          <w:rFonts w:hint="eastAsia" w:eastAsia="宋体"/>
          <w:b/>
          <w:bCs w:val="0"/>
          <w:kern w:val="0"/>
          <w:sz w:val="24"/>
          <w:szCs w:val="24"/>
          <w:lang w:val="en-US" w:eastAsia="zh-CN"/>
        </w:rPr>
        <w:t>教育部发布的</w:t>
      </w:r>
      <w:r>
        <w:rPr>
          <w:rFonts w:hint="eastAsia" w:eastAsia="宋体"/>
          <w:b/>
          <w:bCs w:val="0"/>
          <w:kern w:val="0"/>
          <w:sz w:val="24"/>
          <w:szCs w:val="24"/>
          <w:lang w:eastAsia="zh-CN"/>
        </w:rPr>
        <w:t>《教育部高校学生司关于发布“双千”计划急需紧缺“微专业”建设方向的通知》（教就业司函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  <w:lang w:eastAsia="zh-CN"/>
        </w:rPr>
        <w:t>〔2025〕13号</w:t>
      </w:r>
      <w:r>
        <w:rPr>
          <w:rFonts w:hint="eastAsia" w:eastAsia="宋体"/>
          <w:b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eastAsia="宋体"/>
          <w:b/>
          <w:bCs w:val="0"/>
          <w:kern w:val="0"/>
          <w:sz w:val="24"/>
          <w:szCs w:val="24"/>
          <w:lang w:val="en-US" w:eastAsia="zh-CN"/>
        </w:rPr>
        <w:t>将数字营销作为重点支持的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  <w:lang w:val="en-US" w:eastAsia="zh-CN"/>
        </w:rPr>
        <w:t>12</w:t>
      </w:r>
      <w:r>
        <w:rPr>
          <w:rFonts w:hint="eastAsia" w:eastAsia="宋体"/>
          <w:b/>
          <w:bCs w:val="0"/>
          <w:kern w:val="0"/>
          <w:sz w:val="24"/>
          <w:szCs w:val="24"/>
          <w:lang w:val="en-US" w:eastAsia="zh-CN"/>
        </w:rPr>
        <w:t>个领域之一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。数字营销微专业依托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学校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工商管理省级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高峰培育学科和省级特色培育学科、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市场营销省级一流本科专业、大数据营销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省级产业学院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，以国家战略需要、区域经济发展、个人成才需要为导向，以产教融合、校企合作、资源共享为指导，打造“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专业知识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+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实习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实训+创新实践”的人才培养模式，培养具有多学科思维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创新型、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复合型人才。数字营销微专业的课程设置，紧紧围绕企业“数字转型+营销重构”战略需要，秉承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数字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技术驱动商业变革、数据赋能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企业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价值创造的培养理念，按照“数智技术驱动+商业模式重塑+数据科学决策+场景创新应用”的课程逻辑，设置了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门课程，旨在通过最新的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数字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营销理念讲授、企业真实项目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案例分析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、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大数据营销实训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平台实操等教学环节，系统培养学生数字化商业思维、智能营销技术应用的能力，更好满足学生职业发展需要和产业人才需求。</w:t>
      </w:r>
    </w:p>
    <w:p w14:paraId="4BAD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eastAsia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校内微专业代码为：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120202V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。</w:t>
      </w:r>
    </w:p>
    <w:p w14:paraId="17A37808">
      <w:pPr>
        <w:spacing w:before="120" w:beforeLines="50" w:after="120" w:afterLines="50" w:line="480" w:lineRule="exact"/>
        <w:ind w:firstLine="562" w:firstLineChars="200"/>
        <w:rPr>
          <w:rFonts w:eastAsia="宋体"/>
          <w:b/>
          <w:kern w:val="0"/>
          <w:sz w:val="28"/>
          <w:szCs w:val="28"/>
        </w:rPr>
      </w:pPr>
      <w:r>
        <w:rPr>
          <w:rFonts w:eastAsia="宋体"/>
          <w:b/>
          <w:kern w:val="0"/>
          <w:sz w:val="28"/>
          <w:szCs w:val="28"/>
        </w:rPr>
        <w:t>二、培养目标</w:t>
      </w:r>
    </w:p>
    <w:p w14:paraId="2341B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="宋体"/>
          <w:b w:val="0"/>
          <w:bCs/>
          <w:kern w:val="0"/>
          <w:sz w:val="24"/>
          <w:szCs w:val="24"/>
          <w:lang w:eastAsia="zh-CN"/>
        </w:rPr>
      </w:pPr>
      <w:bookmarkStart w:id="0" w:name="_Toc5407"/>
      <w:bookmarkStart w:id="1" w:name="_Toc22145"/>
      <w:bookmarkStart w:id="2" w:name="_Toc26524"/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数字营销微专业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以立德树人为根本任务，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旨在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培养适应新时代中国特色社会主义发展需要，掌握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数字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营销理论、方法和技能，熟练运用大数据分析工具、制图工具、视频制作工具和办公软件等，具备行业洞察、数字营销、兴趣电商和创新创业能力，能够在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数字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营销领域从事市场研究、新媒体运营、电商运营、短视频运营、直播电商和数据分析等相关岗位工作的高素质应用型人才。</w:t>
      </w:r>
      <w:bookmarkEnd w:id="0"/>
      <w:bookmarkEnd w:id="1"/>
      <w:bookmarkEnd w:id="2"/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具体目标如下：</w:t>
      </w:r>
    </w:p>
    <w:p w14:paraId="08C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1.知识目标：掌握数字营销基础理论，</w:t>
      </w:r>
      <w:r>
        <w:rPr>
          <w:rFonts w:hint="eastAsia" w:eastAsia="宋体"/>
          <w:b w:val="0"/>
          <w:bCs/>
          <w:kern w:val="0"/>
          <w:sz w:val="24"/>
          <w:szCs w:val="24"/>
          <w:lang w:val="en-US" w:eastAsia="zh-CN"/>
        </w:rPr>
        <w:t>掌握大数据分析工具和方法</w:t>
      </w: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。</w:t>
      </w:r>
    </w:p>
    <w:p w14:paraId="3A9BA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2.能力目标：具备数据驱动的营销决策能力、全流程营销策划与执行能力、跨领域协同与创新能力，能够熟练运用信息技术和数据分析工具进行营销优化和决策支持。</w:t>
      </w:r>
    </w:p>
    <w:p w14:paraId="7240E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eastAsia="宋体"/>
          <w:b/>
          <w:kern w:val="0"/>
          <w:sz w:val="28"/>
          <w:szCs w:val="28"/>
        </w:rPr>
      </w:pPr>
      <w:r>
        <w:rPr>
          <w:rFonts w:hint="eastAsia" w:eastAsia="宋体"/>
          <w:b w:val="0"/>
          <w:bCs/>
          <w:kern w:val="0"/>
          <w:sz w:val="24"/>
          <w:szCs w:val="24"/>
          <w:lang w:eastAsia="zh-CN"/>
        </w:rPr>
        <w:t>3.素养目标：具备跨学科的综合素养，能够理解和应用营销管理、直播电商、大数据分析、新媒体运营等相关领域的知识，解决复杂的营销管理问题。</w:t>
      </w:r>
    </w:p>
    <w:p w14:paraId="0B1856DE">
      <w:pPr>
        <w:spacing w:before="120" w:beforeLines="50" w:after="120" w:afterLines="50" w:line="480" w:lineRule="exact"/>
        <w:ind w:firstLine="562" w:firstLineChars="200"/>
        <w:rPr>
          <w:rFonts w:eastAsia="宋体"/>
          <w:b/>
          <w:kern w:val="0"/>
          <w:sz w:val="28"/>
          <w:szCs w:val="28"/>
        </w:rPr>
      </w:pPr>
      <w:r>
        <w:rPr>
          <w:rFonts w:eastAsia="宋体"/>
          <w:b/>
          <w:kern w:val="0"/>
          <w:sz w:val="28"/>
          <w:szCs w:val="28"/>
        </w:rPr>
        <w:t>三、修读要求</w:t>
      </w:r>
    </w:p>
    <w:p w14:paraId="5694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学分要求：学生在毕业前，修满本微专业培养方案规定的10学分。</w:t>
      </w:r>
    </w:p>
    <w:p w14:paraId="4988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修业年限：修读年限为1到1.5学年。完成各门课程学习，并取得合格成绩，即可获得对应学分；学分修满后方可获得微专业学习证书，证书由教务处统一发放。</w:t>
      </w:r>
    </w:p>
    <w:p w14:paraId="02515C8D">
      <w:pPr>
        <w:spacing w:before="120" w:beforeLines="50" w:after="120" w:afterLines="50" w:line="480" w:lineRule="exact"/>
        <w:ind w:firstLine="562" w:firstLineChars="200"/>
        <w:rPr>
          <w:rFonts w:eastAsia="宋体"/>
          <w:b/>
          <w:kern w:val="0"/>
          <w:sz w:val="28"/>
          <w:szCs w:val="28"/>
        </w:rPr>
      </w:pPr>
      <w:r>
        <w:rPr>
          <w:rFonts w:eastAsia="宋体"/>
          <w:b/>
          <w:kern w:val="0"/>
          <w:sz w:val="28"/>
          <w:szCs w:val="28"/>
        </w:rPr>
        <w:t>四、培养对象与条件（对学生所在学科和专业、前置课程等的要求）</w:t>
      </w:r>
    </w:p>
    <w:p w14:paraId="52051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本专业面向全校各专业全日制本科大二年级学生，公开选拔对数字营销有浓厚兴趣的优秀学生。报名本专业的学生需满足以下条件：</w:t>
      </w:r>
    </w:p>
    <w:p w14:paraId="4DC4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（1）热爱祖国、具有良好的思想品德和政治素质；</w:t>
      </w:r>
    </w:p>
    <w:p w14:paraId="2E77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（2）综合素质高，学有余力，对营销数据分析和新媒体营销感兴趣。</w:t>
      </w:r>
    </w:p>
    <w:p w14:paraId="45A43FBA">
      <w:pPr>
        <w:spacing w:before="120" w:beforeLines="50" w:after="120" w:afterLines="50" w:line="480" w:lineRule="exact"/>
        <w:ind w:firstLine="562" w:firstLineChars="200"/>
        <w:rPr>
          <w:rFonts w:eastAsia="宋体"/>
          <w:b/>
          <w:kern w:val="0"/>
          <w:sz w:val="28"/>
          <w:szCs w:val="28"/>
        </w:rPr>
      </w:pPr>
      <w:r>
        <w:rPr>
          <w:rFonts w:eastAsia="宋体"/>
          <w:b/>
          <w:kern w:val="0"/>
          <w:sz w:val="28"/>
          <w:szCs w:val="28"/>
        </w:rPr>
        <w:t>五、学分与证书</w:t>
      </w:r>
    </w:p>
    <w:p w14:paraId="09A4AD3C">
      <w:pPr>
        <w:spacing w:before="120" w:beforeLines="50" w:after="120" w:afterLines="50" w:line="480" w:lineRule="exact"/>
        <w:ind w:firstLine="480" w:firstLineChars="200"/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学生在毕业前，修满本培养方案规定的10个学分，颁发“数字营销微专业”证书。</w:t>
      </w:r>
    </w:p>
    <w:p w14:paraId="1C310EB2">
      <w:pPr>
        <w:spacing w:before="120" w:beforeLines="50" w:after="120" w:afterLines="50" w:line="480" w:lineRule="exact"/>
        <w:ind w:firstLine="562" w:firstLineChars="200"/>
        <w:rPr>
          <w:rFonts w:eastAsia="宋体"/>
          <w:b/>
          <w:kern w:val="0"/>
          <w:sz w:val="28"/>
          <w:szCs w:val="28"/>
        </w:rPr>
      </w:pPr>
      <w:r>
        <w:rPr>
          <w:rFonts w:eastAsia="宋体"/>
          <w:b/>
          <w:kern w:val="0"/>
          <w:sz w:val="28"/>
          <w:szCs w:val="28"/>
        </w:rPr>
        <w:t>六、课程设置</w:t>
      </w:r>
    </w:p>
    <w:p w14:paraId="0ADCFCB9">
      <w:pPr>
        <w:spacing w:after="120" w:afterLines="50" w:line="400" w:lineRule="exact"/>
        <w:ind w:left="480"/>
        <w:jc w:val="center"/>
        <w:rPr>
          <w:rFonts w:eastAsia="黑体"/>
          <w:b/>
          <w:kern w:val="0"/>
          <w:sz w:val="24"/>
        </w:rPr>
      </w:pPr>
      <w:r>
        <w:rPr>
          <w:rFonts w:hint="eastAsia" w:eastAsia="黑体"/>
          <w:b/>
          <w:kern w:val="0"/>
          <w:sz w:val="24"/>
          <w:lang w:val="en-US" w:eastAsia="zh-CN"/>
        </w:rPr>
        <w:t>数字营销</w:t>
      </w:r>
      <w:r>
        <w:rPr>
          <w:rFonts w:hint="eastAsia" w:ascii="宋体" w:hAnsi="宋体" w:eastAsia="宋体" w:cs="宋体"/>
          <w:b/>
          <w:kern w:val="0"/>
          <w:sz w:val="24"/>
        </w:rPr>
        <w:t>“</w:t>
      </w:r>
      <w:r>
        <w:rPr>
          <w:rFonts w:eastAsia="黑体"/>
          <w:b/>
          <w:kern w:val="0"/>
          <w:sz w:val="24"/>
        </w:rPr>
        <w:t>微专业</w:t>
      </w:r>
      <w:r>
        <w:rPr>
          <w:rFonts w:hint="eastAsia" w:ascii="宋体" w:hAnsi="宋体" w:eastAsia="宋体" w:cs="宋体"/>
          <w:b/>
          <w:kern w:val="0"/>
          <w:sz w:val="24"/>
        </w:rPr>
        <w:t>”</w:t>
      </w:r>
      <w:r>
        <w:rPr>
          <w:rFonts w:eastAsia="黑体"/>
          <w:b/>
          <w:kern w:val="0"/>
          <w:sz w:val="24"/>
        </w:rPr>
        <w:t>课程设置及教学进程计划表</w:t>
      </w:r>
    </w:p>
    <w:tbl>
      <w:tblPr>
        <w:tblStyle w:val="8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783"/>
        <w:gridCol w:w="1478"/>
        <w:gridCol w:w="384"/>
        <w:gridCol w:w="386"/>
        <w:gridCol w:w="420"/>
        <w:gridCol w:w="368"/>
        <w:gridCol w:w="368"/>
        <w:gridCol w:w="420"/>
        <w:gridCol w:w="386"/>
        <w:gridCol w:w="349"/>
        <w:gridCol w:w="628"/>
        <w:gridCol w:w="1513"/>
        <w:gridCol w:w="1257"/>
      </w:tblGrid>
      <w:tr w14:paraId="0347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7CAD7E94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 w14:paraId="443D2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 w14:paraId="3584472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84" w:type="dxa"/>
            <w:vMerge w:val="restart"/>
            <w:noWrap w:val="0"/>
            <w:vAlign w:val="center"/>
          </w:tcPr>
          <w:p w14:paraId="68FB827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386" w:type="dxa"/>
            <w:vMerge w:val="restart"/>
            <w:noWrap w:val="0"/>
            <w:vAlign w:val="center"/>
          </w:tcPr>
          <w:p w14:paraId="69731BF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周学时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 w14:paraId="73DF4ED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 w14:paraId="66EE3A74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学时分配</w:t>
            </w:r>
          </w:p>
        </w:tc>
        <w:tc>
          <w:tcPr>
            <w:tcW w:w="349" w:type="dxa"/>
            <w:vMerge w:val="restart"/>
            <w:noWrap w:val="0"/>
            <w:vAlign w:val="center"/>
          </w:tcPr>
          <w:p w14:paraId="537C201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开课学期</w:t>
            </w:r>
          </w:p>
        </w:tc>
        <w:tc>
          <w:tcPr>
            <w:tcW w:w="628" w:type="dxa"/>
            <w:vMerge w:val="restart"/>
            <w:noWrap w:val="0"/>
            <w:vAlign w:val="center"/>
          </w:tcPr>
          <w:p w14:paraId="0FA5A0DB">
            <w:pPr>
              <w:tabs>
                <w:tab w:val="left" w:pos="233"/>
              </w:tabs>
              <w:spacing w:line="288" w:lineRule="auto"/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考核方式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0B372D24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开课单位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 w14:paraId="7399163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备注：须修读的前置课程</w:t>
            </w:r>
          </w:p>
        </w:tc>
      </w:tr>
      <w:tr w14:paraId="0240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4515BF21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3311EE86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0087D1A8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vMerge w:val="continue"/>
            <w:noWrap w:val="0"/>
            <w:vAlign w:val="center"/>
          </w:tcPr>
          <w:p w14:paraId="652357B1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 w14:paraId="1888A820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51CC1F26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7504342B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线上</w:t>
            </w:r>
          </w:p>
          <w:p w14:paraId="2013E3C6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4B285F14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线下</w:t>
            </w:r>
          </w:p>
          <w:p w14:paraId="54BDFBE9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349" w:type="dxa"/>
            <w:vMerge w:val="continue"/>
            <w:noWrap w:val="0"/>
            <w:vAlign w:val="center"/>
          </w:tcPr>
          <w:p w14:paraId="5E9525A7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5189B803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575A9074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3AAACD9E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3232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54096348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5AAB6FCC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7B3C3C86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vMerge w:val="continue"/>
            <w:noWrap w:val="0"/>
            <w:vAlign w:val="center"/>
          </w:tcPr>
          <w:p w14:paraId="402E18B1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 w14:paraId="31DCE7C7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780A8FAB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noWrap w:val="0"/>
            <w:vAlign w:val="center"/>
          </w:tcPr>
          <w:p w14:paraId="17DFDE50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理论学时</w:t>
            </w:r>
          </w:p>
        </w:tc>
        <w:tc>
          <w:tcPr>
            <w:tcW w:w="368" w:type="dxa"/>
            <w:noWrap w:val="0"/>
            <w:vAlign w:val="center"/>
          </w:tcPr>
          <w:p w14:paraId="41F4CFC6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420" w:type="dxa"/>
            <w:noWrap w:val="0"/>
            <w:vAlign w:val="center"/>
          </w:tcPr>
          <w:p w14:paraId="5EA54FB0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理论学时</w:t>
            </w:r>
          </w:p>
        </w:tc>
        <w:tc>
          <w:tcPr>
            <w:tcW w:w="386" w:type="dxa"/>
            <w:noWrap w:val="0"/>
            <w:vAlign w:val="center"/>
          </w:tcPr>
          <w:p w14:paraId="62F181A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349" w:type="dxa"/>
            <w:vMerge w:val="continue"/>
            <w:noWrap w:val="0"/>
            <w:vAlign w:val="center"/>
          </w:tcPr>
          <w:p w14:paraId="2BFA0FA3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2F869047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66E0201D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0AC691CC">
            <w:pPr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12B2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84" w:type="dxa"/>
            <w:noWrap w:val="0"/>
            <w:vAlign w:val="center"/>
          </w:tcPr>
          <w:p w14:paraId="050DDEF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6BFF50F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0320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169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239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数字营销概论(V)</w:t>
            </w:r>
          </w:p>
        </w:tc>
        <w:tc>
          <w:tcPr>
            <w:tcW w:w="384" w:type="dxa"/>
            <w:shd w:val="clear" w:color="auto" w:fill="auto"/>
            <w:noWrap w:val="0"/>
            <w:vAlign w:val="center"/>
          </w:tcPr>
          <w:p w14:paraId="72D0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720F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67BE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3C93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5587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435D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41F7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349" w:type="dxa"/>
            <w:shd w:val="clear" w:color="auto" w:fill="auto"/>
            <w:noWrap w:val="0"/>
            <w:vAlign w:val="center"/>
          </w:tcPr>
          <w:p w14:paraId="1C14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28" w:type="dxa"/>
            <w:shd w:val="clear" w:color="auto" w:fill="auto"/>
            <w:noWrap w:val="0"/>
            <w:vAlign w:val="center"/>
          </w:tcPr>
          <w:p w14:paraId="4A88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考查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26D1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工商管理学院</w:t>
            </w:r>
          </w:p>
        </w:tc>
        <w:tc>
          <w:tcPr>
            <w:tcW w:w="1257" w:type="dxa"/>
            <w:noWrap w:val="0"/>
            <w:vAlign w:val="center"/>
          </w:tcPr>
          <w:p w14:paraId="2144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微积分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、</w:t>
            </w:r>
          </w:p>
          <w:p w14:paraId="57DA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线性代数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、</w:t>
            </w:r>
          </w:p>
          <w:p w14:paraId="2C98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人工智能通识课</w:t>
            </w:r>
          </w:p>
        </w:tc>
      </w:tr>
      <w:tr w14:paraId="2A0C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84" w:type="dxa"/>
            <w:noWrap w:val="0"/>
            <w:vAlign w:val="center"/>
          </w:tcPr>
          <w:p w14:paraId="540834D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0BA613A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0311002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53AE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大数据营销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(V)</w:t>
            </w:r>
          </w:p>
        </w:tc>
        <w:tc>
          <w:tcPr>
            <w:tcW w:w="384" w:type="dxa"/>
            <w:shd w:val="clear" w:color="auto" w:fill="auto"/>
            <w:noWrap w:val="0"/>
            <w:vAlign w:val="center"/>
          </w:tcPr>
          <w:p w14:paraId="0D68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2AD4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313B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0FDD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54CE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7289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3642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9" w:type="dxa"/>
            <w:shd w:val="clear" w:color="auto" w:fill="auto"/>
            <w:noWrap w:val="0"/>
            <w:vAlign w:val="center"/>
          </w:tcPr>
          <w:p w14:paraId="3AB7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28" w:type="dxa"/>
            <w:shd w:val="clear" w:color="auto" w:fill="auto"/>
            <w:noWrap w:val="0"/>
            <w:vAlign w:val="center"/>
          </w:tcPr>
          <w:p w14:paraId="62E4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考查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508A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工商管理学院</w:t>
            </w:r>
          </w:p>
        </w:tc>
        <w:tc>
          <w:tcPr>
            <w:tcW w:w="1257" w:type="dxa"/>
            <w:noWrap w:val="0"/>
            <w:vAlign w:val="center"/>
          </w:tcPr>
          <w:p w14:paraId="7B3E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数字营销概论、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概率论与数理统计</w:t>
            </w:r>
          </w:p>
        </w:tc>
      </w:tr>
      <w:tr w14:paraId="4392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84" w:type="dxa"/>
            <w:noWrap w:val="0"/>
            <w:vAlign w:val="center"/>
          </w:tcPr>
          <w:p w14:paraId="256E3C6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324F8EF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0320166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1798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直播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营销(V)</w:t>
            </w:r>
          </w:p>
        </w:tc>
        <w:tc>
          <w:tcPr>
            <w:tcW w:w="384" w:type="dxa"/>
            <w:shd w:val="clear" w:color="auto" w:fill="auto"/>
            <w:noWrap w:val="0"/>
            <w:vAlign w:val="center"/>
          </w:tcPr>
          <w:p w14:paraId="1B6D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7B87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007C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2E37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4673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5077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5501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49" w:type="dxa"/>
            <w:shd w:val="clear" w:color="auto" w:fill="auto"/>
            <w:noWrap w:val="0"/>
            <w:vAlign w:val="center"/>
          </w:tcPr>
          <w:p w14:paraId="0C17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28" w:type="dxa"/>
            <w:shd w:val="clear" w:color="auto" w:fill="auto"/>
            <w:noWrap w:val="0"/>
            <w:vAlign w:val="center"/>
          </w:tcPr>
          <w:p w14:paraId="7413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3CB8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工商管理学院</w:t>
            </w:r>
          </w:p>
        </w:tc>
        <w:tc>
          <w:tcPr>
            <w:tcW w:w="1257" w:type="dxa"/>
            <w:noWrap w:val="0"/>
            <w:vAlign w:val="center"/>
          </w:tcPr>
          <w:p w14:paraId="3261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大数据营销</w:t>
            </w:r>
          </w:p>
        </w:tc>
      </w:tr>
      <w:tr w14:paraId="5417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84" w:type="dxa"/>
            <w:noWrap w:val="0"/>
            <w:vAlign w:val="center"/>
          </w:tcPr>
          <w:p w14:paraId="247CD011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514F078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0320167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C13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短视频与内容营销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(V)</w:t>
            </w:r>
          </w:p>
        </w:tc>
        <w:tc>
          <w:tcPr>
            <w:tcW w:w="384" w:type="dxa"/>
            <w:shd w:val="clear" w:color="auto" w:fill="auto"/>
            <w:noWrap w:val="0"/>
            <w:vAlign w:val="center"/>
          </w:tcPr>
          <w:p w14:paraId="6E9E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63FE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6473C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2C9E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3F8C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3DC4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4606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49" w:type="dxa"/>
            <w:shd w:val="clear" w:color="auto" w:fill="auto"/>
            <w:noWrap w:val="0"/>
            <w:vAlign w:val="center"/>
          </w:tcPr>
          <w:p w14:paraId="7E7A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28" w:type="dxa"/>
            <w:shd w:val="clear" w:color="auto" w:fill="auto"/>
            <w:noWrap w:val="0"/>
            <w:vAlign w:val="center"/>
          </w:tcPr>
          <w:p w14:paraId="06433E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1B57C24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工商管理学院</w:t>
            </w:r>
          </w:p>
        </w:tc>
        <w:tc>
          <w:tcPr>
            <w:tcW w:w="1257" w:type="dxa"/>
            <w:noWrap w:val="0"/>
            <w:vAlign w:val="center"/>
          </w:tcPr>
          <w:p w14:paraId="36E3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直播营销</w:t>
            </w:r>
          </w:p>
        </w:tc>
      </w:tr>
      <w:tr w14:paraId="75B1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84" w:type="dxa"/>
            <w:noWrap w:val="0"/>
            <w:vAlign w:val="center"/>
          </w:tcPr>
          <w:p w14:paraId="7CCEDB21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14E3F4F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0321001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72AB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市场营销综合实验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(V)</w:t>
            </w:r>
          </w:p>
        </w:tc>
        <w:tc>
          <w:tcPr>
            <w:tcW w:w="384" w:type="dxa"/>
            <w:shd w:val="clear" w:color="auto" w:fill="auto"/>
            <w:noWrap w:val="0"/>
            <w:vAlign w:val="center"/>
          </w:tcPr>
          <w:p w14:paraId="6CF0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21E3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3AA0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55C0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4EFB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6A9C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538C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49" w:type="dxa"/>
            <w:shd w:val="clear" w:color="auto" w:fill="auto"/>
            <w:noWrap w:val="0"/>
            <w:vAlign w:val="center"/>
          </w:tcPr>
          <w:p w14:paraId="5AE4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28" w:type="dxa"/>
            <w:shd w:val="clear" w:color="auto" w:fill="auto"/>
            <w:noWrap w:val="0"/>
            <w:vAlign w:val="center"/>
          </w:tcPr>
          <w:p w14:paraId="0BF5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3ED0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工商管理学院</w:t>
            </w:r>
          </w:p>
        </w:tc>
        <w:tc>
          <w:tcPr>
            <w:tcW w:w="1257" w:type="dxa"/>
            <w:noWrap w:val="0"/>
            <w:vAlign w:val="center"/>
          </w:tcPr>
          <w:p w14:paraId="103D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大数据营销</w:t>
            </w:r>
          </w:p>
        </w:tc>
      </w:tr>
      <w:tr w14:paraId="1956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2945" w:type="dxa"/>
            <w:gridSpan w:val="3"/>
            <w:noWrap w:val="0"/>
            <w:vAlign w:val="center"/>
          </w:tcPr>
          <w:p w14:paraId="0648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384" w:type="dxa"/>
            <w:shd w:val="clear" w:color="auto" w:fill="auto"/>
            <w:noWrap w:val="0"/>
            <w:vAlign w:val="center"/>
          </w:tcPr>
          <w:p w14:paraId="416F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315D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1CD6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4282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68" w:type="dxa"/>
            <w:shd w:val="clear" w:color="auto" w:fill="auto"/>
            <w:noWrap w:val="0"/>
            <w:vAlign w:val="center"/>
          </w:tcPr>
          <w:p w14:paraId="427C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2BEE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86" w:type="dxa"/>
            <w:shd w:val="clear" w:color="auto" w:fill="auto"/>
            <w:noWrap w:val="0"/>
            <w:vAlign w:val="center"/>
          </w:tcPr>
          <w:p w14:paraId="75DD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49" w:type="dxa"/>
            <w:noWrap w:val="0"/>
            <w:vAlign w:val="center"/>
          </w:tcPr>
          <w:p w14:paraId="18009D7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noWrap w:val="0"/>
            <w:vAlign w:val="center"/>
          </w:tcPr>
          <w:p w14:paraId="4D4E3F9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0CEC3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79C13CC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C8E42AA">
      <w:pPr>
        <w:spacing w:line="480" w:lineRule="exact"/>
        <w:ind w:firstLine="270" w:firstLineChars="150"/>
        <w:rPr>
          <w:rFonts w:eastAsia="宋体"/>
          <w:kern w:val="0"/>
          <w:sz w:val="18"/>
          <w:szCs w:val="18"/>
        </w:rPr>
      </w:pPr>
      <w:r>
        <w:rPr>
          <w:rFonts w:eastAsia="宋体"/>
          <w:kern w:val="0"/>
          <w:sz w:val="18"/>
          <w:szCs w:val="18"/>
        </w:rPr>
        <w:t>注：</w:t>
      </w:r>
      <w:r>
        <w:rPr>
          <w:rFonts w:hint="eastAsia" w:ascii="宋体" w:hAnsi="宋体" w:eastAsia="宋体" w:cs="宋体"/>
          <w:kern w:val="0"/>
          <w:sz w:val="18"/>
          <w:szCs w:val="18"/>
        </w:rPr>
        <w:t>“总学时=线上学时+线下学时”</w:t>
      </w:r>
      <w:r>
        <w:rPr>
          <w:rFonts w:eastAsia="宋体"/>
          <w:kern w:val="0"/>
          <w:sz w:val="18"/>
          <w:szCs w:val="18"/>
        </w:rPr>
        <w:t>；开课单位填写任课教师所在高校或企业等。</w:t>
      </w:r>
    </w:p>
    <w:p w14:paraId="5C1A853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4790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5791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.6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6W/D9EAAAADAQAADwAAAAAAAAABACAAAAAiAAAAZHJzL2Rvd25yZXYueG1sUEsB&#10;AhQAFAAAAAgAh07iQDsJ9u3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5791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61F2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2FhNmM5YTBiNmFkN2VhMmMwNGNjMDBjMWNlMTcifQ=="/>
  </w:docVars>
  <w:rsids>
    <w:rsidRoot w:val="00000000"/>
    <w:rsid w:val="00250B7C"/>
    <w:rsid w:val="00D72607"/>
    <w:rsid w:val="010C1A29"/>
    <w:rsid w:val="01AC28DD"/>
    <w:rsid w:val="040F20B8"/>
    <w:rsid w:val="04DF1214"/>
    <w:rsid w:val="058F47AD"/>
    <w:rsid w:val="05B63617"/>
    <w:rsid w:val="060104A9"/>
    <w:rsid w:val="060E6ACB"/>
    <w:rsid w:val="06147E59"/>
    <w:rsid w:val="07AB3EFF"/>
    <w:rsid w:val="095A5B83"/>
    <w:rsid w:val="096B0217"/>
    <w:rsid w:val="0B093D05"/>
    <w:rsid w:val="0BB579E9"/>
    <w:rsid w:val="0C152235"/>
    <w:rsid w:val="0C1E558E"/>
    <w:rsid w:val="0DA41AC3"/>
    <w:rsid w:val="10433815"/>
    <w:rsid w:val="10AA73F0"/>
    <w:rsid w:val="10E548CC"/>
    <w:rsid w:val="14263231"/>
    <w:rsid w:val="14755F67"/>
    <w:rsid w:val="14D62EA9"/>
    <w:rsid w:val="14DB226E"/>
    <w:rsid w:val="155344FA"/>
    <w:rsid w:val="15DF7B3C"/>
    <w:rsid w:val="1674297A"/>
    <w:rsid w:val="17936E30"/>
    <w:rsid w:val="19045B0B"/>
    <w:rsid w:val="19AF1F1B"/>
    <w:rsid w:val="1B494818"/>
    <w:rsid w:val="1B7B0307"/>
    <w:rsid w:val="1BA175A7"/>
    <w:rsid w:val="1BFD51C0"/>
    <w:rsid w:val="1CE95744"/>
    <w:rsid w:val="1D4E37F9"/>
    <w:rsid w:val="1EAE27A1"/>
    <w:rsid w:val="1F9A5726"/>
    <w:rsid w:val="21DE514B"/>
    <w:rsid w:val="221C2118"/>
    <w:rsid w:val="260B4207"/>
    <w:rsid w:val="28EA6ACC"/>
    <w:rsid w:val="29B11398"/>
    <w:rsid w:val="2AA36F32"/>
    <w:rsid w:val="2AF27EBA"/>
    <w:rsid w:val="2BEC2B5B"/>
    <w:rsid w:val="2C0E2AD1"/>
    <w:rsid w:val="2ECB4CA9"/>
    <w:rsid w:val="2F542EF1"/>
    <w:rsid w:val="2FA23C5C"/>
    <w:rsid w:val="30C320F4"/>
    <w:rsid w:val="30DD6F16"/>
    <w:rsid w:val="34B306BA"/>
    <w:rsid w:val="354632DC"/>
    <w:rsid w:val="362B4280"/>
    <w:rsid w:val="36E42DAC"/>
    <w:rsid w:val="375F4AE5"/>
    <w:rsid w:val="37737C8C"/>
    <w:rsid w:val="37F52D97"/>
    <w:rsid w:val="38797524"/>
    <w:rsid w:val="38923E75"/>
    <w:rsid w:val="3AA60379"/>
    <w:rsid w:val="3BD45CF9"/>
    <w:rsid w:val="3C101F4E"/>
    <w:rsid w:val="3C3814A4"/>
    <w:rsid w:val="3EEC4EF4"/>
    <w:rsid w:val="3EFB4122"/>
    <w:rsid w:val="3F1E4982"/>
    <w:rsid w:val="408A49C4"/>
    <w:rsid w:val="410B64A8"/>
    <w:rsid w:val="414A5F02"/>
    <w:rsid w:val="43B104BA"/>
    <w:rsid w:val="4441183E"/>
    <w:rsid w:val="44676DCB"/>
    <w:rsid w:val="44D206E8"/>
    <w:rsid w:val="467F664E"/>
    <w:rsid w:val="46AC4F69"/>
    <w:rsid w:val="46BA58D8"/>
    <w:rsid w:val="471E2976"/>
    <w:rsid w:val="473C2248"/>
    <w:rsid w:val="47CF0F0F"/>
    <w:rsid w:val="47D06A35"/>
    <w:rsid w:val="480D7C89"/>
    <w:rsid w:val="485B09F4"/>
    <w:rsid w:val="494D2A33"/>
    <w:rsid w:val="496D09DF"/>
    <w:rsid w:val="4A7D10F6"/>
    <w:rsid w:val="4B46598C"/>
    <w:rsid w:val="4C712602"/>
    <w:rsid w:val="4C83051A"/>
    <w:rsid w:val="4D151ABA"/>
    <w:rsid w:val="4EB3158A"/>
    <w:rsid w:val="4F7F76BE"/>
    <w:rsid w:val="50EC48E0"/>
    <w:rsid w:val="517845ED"/>
    <w:rsid w:val="52991EFC"/>
    <w:rsid w:val="534E5E76"/>
    <w:rsid w:val="54216F96"/>
    <w:rsid w:val="54BA3738"/>
    <w:rsid w:val="5503044A"/>
    <w:rsid w:val="57B40121"/>
    <w:rsid w:val="580249E9"/>
    <w:rsid w:val="5A865DA5"/>
    <w:rsid w:val="5AF54CD9"/>
    <w:rsid w:val="5D2D3AF7"/>
    <w:rsid w:val="5DC310BE"/>
    <w:rsid w:val="5E3641C2"/>
    <w:rsid w:val="5E7423B8"/>
    <w:rsid w:val="5F773F0E"/>
    <w:rsid w:val="60363830"/>
    <w:rsid w:val="6062696C"/>
    <w:rsid w:val="61534507"/>
    <w:rsid w:val="61B01959"/>
    <w:rsid w:val="62724E61"/>
    <w:rsid w:val="63520F1A"/>
    <w:rsid w:val="643C5726"/>
    <w:rsid w:val="646C600B"/>
    <w:rsid w:val="650D17D9"/>
    <w:rsid w:val="65C459D3"/>
    <w:rsid w:val="66882EA5"/>
    <w:rsid w:val="69735746"/>
    <w:rsid w:val="6A721EA2"/>
    <w:rsid w:val="6D351FB7"/>
    <w:rsid w:val="6DB12CE1"/>
    <w:rsid w:val="6E165152"/>
    <w:rsid w:val="6F54601A"/>
    <w:rsid w:val="70187047"/>
    <w:rsid w:val="707A385E"/>
    <w:rsid w:val="709244C4"/>
    <w:rsid w:val="73133AF6"/>
    <w:rsid w:val="73357189"/>
    <w:rsid w:val="739F538A"/>
    <w:rsid w:val="75EF084A"/>
    <w:rsid w:val="77302EC9"/>
    <w:rsid w:val="773F4EBA"/>
    <w:rsid w:val="77530965"/>
    <w:rsid w:val="77560455"/>
    <w:rsid w:val="77B43AFA"/>
    <w:rsid w:val="78F47F26"/>
    <w:rsid w:val="794B223C"/>
    <w:rsid w:val="7A0A5C53"/>
    <w:rsid w:val="7BCB31C0"/>
    <w:rsid w:val="7C95557C"/>
    <w:rsid w:val="7D39684F"/>
    <w:rsid w:val="7D7A5BD1"/>
    <w:rsid w:val="7EB0669D"/>
    <w:rsid w:val="7EE8052D"/>
    <w:rsid w:val="7F622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36"/>
      <w:szCs w:val="3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autoRedefine/>
    <w:qFormat/>
    <w:uiPriority w:val="0"/>
    <w:pPr>
      <w:autoSpaceDE w:val="0"/>
      <w:autoSpaceDN w:val="0"/>
      <w:snapToGrid w:val="0"/>
      <w:jc w:val="left"/>
    </w:pPr>
    <w:rPr>
      <w:rFonts w:ascii="仿宋" w:hAnsi="仿宋" w:eastAsia="仿宋" w:cs="仿宋"/>
      <w:kern w:val="0"/>
      <w:sz w:val="18"/>
      <w:szCs w:val="22"/>
      <w:lang w:val="zh-CN" w:bidi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99"/>
    <w:pPr>
      <w:spacing w:line="500" w:lineRule="exact"/>
      <w:ind w:firstLine="420"/>
    </w:pPr>
    <w:rPr>
      <w:rFonts w:eastAsia="宋体"/>
      <w:szCs w:val="2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autoRedefine/>
    <w:qFormat/>
    <w:uiPriority w:val="0"/>
    <w:rPr>
      <w:vertAlign w:val="superscript"/>
    </w:rPr>
  </w:style>
  <w:style w:type="paragraph" w:customStyle="1" w:styleId="12">
    <w:name w:val="Table Paragraph"/>
    <w:basedOn w:val="1"/>
    <w:autoRedefine/>
    <w:qFormat/>
    <w:uiPriority w:val="1"/>
    <w:pPr>
      <w:autoSpaceDE w:val="0"/>
      <w:autoSpaceDN w:val="0"/>
      <w:spacing w:before="35"/>
      <w:ind w:left="27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13">
    <w:name w:val="font21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1941</Words>
  <Characters>2017</Characters>
  <Lines>0</Lines>
  <Paragraphs>0</Paragraphs>
  <TotalTime>0</TotalTime>
  <ScaleCrop>false</ScaleCrop>
  <LinksUpToDate>false</LinksUpToDate>
  <CharactersWithSpaces>2019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2023-10-27T07:37:00Z</dcterms:created>
  <dc:creator>eclipse</dc:creator>
  <cp:lastModifiedBy>ailsa</cp:lastModifiedBy>
  <cp:lastPrinted>2023-10-27T14:14:00Z</cp:lastPrinted>
  <dcterms:modified xsi:type="dcterms:W3CDTF">2025-12-10T03:22:31Z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8AFC341AAF784F66B7D69FF2BFF01E4A_13</vt:lpwstr>
  </property>
  <property fmtid="{D5CDD505-2E9C-101B-9397-08002B2CF9AE}" pid="4" name="KSOTemplateDocerSaveRecord">
    <vt:lpwstr>eyJoZGlkIjoiZjk1OGY0MGUwZjA3Zjg4YmUzZWY0Njc1OWY0NGY1NDAiLCJ1c2VySWQiOiIxMDE2MTQ0OTk2In0=</vt:lpwstr>
  </property>
</Properties>
</file>